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844C" w14:textId="18330098" w:rsidR="004A0F50" w:rsidRDefault="004A0F50" w:rsidP="004A0F50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Contrato Nº </w:t>
      </w:r>
      <w:r w:rsidR="001B1F9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B5736">
        <w:rPr>
          <w:rFonts w:asciiTheme="minorHAnsi" w:hAnsiTheme="minorHAnsi" w:cstheme="minorHAnsi"/>
          <w:b/>
          <w:bCs/>
          <w:sz w:val="24"/>
          <w:szCs w:val="24"/>
        </w:rPr>
        <w:t>6</w:t>
      </w:r>
      <w:r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5B5736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B1F9E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2B512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5736" w:rsidRPr="005B5736">
        <w:rPr>
          <w:rFonts w:asciiTheme="minorHAnsi" w:hAnsiTheme="minorHAnsi" w:cstheme="minorHAnsi"/>
          <w:b/>
          <w:bCs/>
          <w:sz w:val="24"/>
          <w:szCs w:val="24"/>
        </w:rPr>
        <w:t>Contratação de empresa para a prestação de serviços de chaveiro.</w:t>
      </w:r>
    </w:p>
    <w:p w14:paraId="1FE9AA16" w14:textId="622EC2F7" w:rsidR="00D90217" w:rsidRDefault="00D90217" w:rsidP="004A0F50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6FA67AE" w14:textId="7B52BE36" w:rsidR="00D90217" w:rsidRDefault="00D90217" w:rsidP="00D90217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Dispensa de Licitação Nº </w:t>
      </w:r>
      <w:r w:rsidR="005B5736">
        <w:rPr>
          <w:rFonts w:asciiTheme="minorHAnsi" w:hAnsiTheme="minorHAnsi" w:cstheme="minorHAnsi"/>
          <w:b/>
          <w:bCs/>
          <w:sz w:val="24"/>
          <w:szCs w:val="24"/>
        </w:rPr>
        <w:t>31</w:t>
      </w:r>
      <w:r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5B5736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0E0568DE" w14:textId="5DD63A17" w:rsidR="00D90217" w:rsidRDefault="00D90217" w:rsidP="00D90217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Processo Nº </w:t>
      </w:r>
      <w:r w:rsidR="005B5736">
        <w:rPr>
          <w:rFonts w:asciiTheme="minorHAnsi" w:hAnsiTheme="minorHAnsi" w:cstheme="minorHAnsi"/>
          <w:b/>
          <w:bCs/>
          <w:sz w:val="24"/>
          <w:szCs w:val="24"/>
        </w:rPr>
        <w:t>57/</w:t>
      </w:r>
      <w:r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5B5736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0043141B" w14:textId="2866FEA4" w:rsidR="00D90217" w:rsidRDefault="00D90217" w:rsidP="00D90217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243A137" w14:textId="74539F42" w:rsidR="00D90217" w:rsidRDefault="00D90217" w:rsidP="00D90217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217">
        <w:rPr>
          <w:rFonts w:asciiTheme="minorHAnsi" w:hAnsiTheme="minorHAnsi" w:cstheme="minorHAnsi"/>
          <w:b/>
          <w:bCs/>
          <w:sz w:val="24"/>
          <w:szCs w:val="24"/>
        </w:rPr>
        <w:t xml:space="preserve">CONTRATANTE: </w:t>
      </w:r>
      <w:r w:rsidR="005B5736"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 w:rsidR="005B5736">
        <w:rPr>
          <w:rFonts w:asciiTheme="minorHAnsi" w:hAnsiTheme="minorHAnsi" w:cstheme="minorHAnsi"/>
          <w:sz w:val="24"/>
          <w:szCs w:val="24"/>
        </w:rPr>
        <w:softHyphen/>
        <w:t>tado de São Paulo, neste ato representada pelo Senhor Presidente Wagner Alexandre de Oliveira, portador do RG n.º</w:t>
      </w:r>
      <w:r w:rsidR="005B5736">
        <w:t xml:space="preserve"> </w:t>
      </w:r>
      <w:r w:rsidR="005B5736"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03684FB0" w14:textId="53C5C849" w:rsidR="00D90217" w:rsidRDefault="00D90217" w:rsidP="00D90217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A17EF2" w14:textId="6B1343A8" w:rsidR="00D90217" w:rsidRDefault="00D90217" w:rsidP="00D90217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217">
        <w:rPr>
          <w:rFonts w:asciiTheme="minorHAnsi" w:hAnsiTheme="minorHAnsi" w:cstheme="minorHAnsi"/>
          <w:b/>
          <w:bCs/>
          <w:sz w:val="24"/>
          <w:szCs w:val="24"/>
        </w:rPr>
        <w:t xml:space="preserve">CONTRATADA: </w:t>
      </w:r>
      <w:r w:rsidR="00807E3C" w:rsidRPr="00807E3C">
        <w:rPr>
          <w:rFonts w:asciiTheme="minorHAnsi" w:hAnsiTheme="minorHAnsi" w:cstheme="minorHAnsi"/>
          <w:sz w:val="24"/>
          <w:szCs w:val="24"/>
        </w:rPr>
        <w:t>Reginaldo Inácio de Souza 06772415850, Inscrito no CNPJ 15.469.342/0001-22, estabelecida à Rua Martin Afonso de Souza, nº 247, bairro Castelinho, Piracicaba, Estado São Paulo, CEP: 13.403-045, Telefone (19) 3402-9599, neste ato representada pelo Senhor Reginaldo Inácio de Souza, proprietário, portador do RG nº 14.029.716-8 e CPF nº 067.724.158-50.</w:t>
      </w:r>
    </w:p>
    <w:p w14:paraId="5C75EE01" w14:textId="3338935A" w:rsidR="00D90217" w:rsidRDefault="00D90217" w:rsidP="00D90217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79A842" w14:textId="3926C389" w:rsidR="00D90217" w:rsidRPr="00D90217" w:rsidRDefault="00D90217" w:rsidP="00D90217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90217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300283A2" w14:textId="3271AE24" w:rsidR="00D90217" w:rsidRDefault="00807E3C" w:rsidP="00D90217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07E3C">
        <w:rPr>
          <w:rFonts w:asciiTheme="minorHAnsi" w:hAnsiTheme="minorHAnsi" w:cstheme="minorHAnsi"/>
          <w:sz w:val="24"/>
          <w:szCs w:val="24"/>
        </w:rPr>
        <w:t xml:space="preserve">O presente Contrato tem como finalidade a </w:t>
      </w:r>
      <w:r w:rsidR="005B5736" w:rsidRPr="005B5736">
        <w:rPr>
          <w:rFonts w:asciiTheme="minorHAnsi" w:hAnsiTheme="minorHAnsi" w:cstheme="minorHAnsi"/>
          <w:sz w:val="24"/>
          <w:szCs w:val="24"/>
        </w:rPr>
        <w:t>Contratação de empresa para a prestação de serviços de chaveiro</w:t>
      </w:r>
      <w:r w:rsidRPr="00807E3C">
        <w:rPr>
          <w:rFonts w:asciiTheme="minorHAnsi" w:hAnsiTheme="minorHAnsi" w:cstheme="minorHAnsi"/>
          <w:sz w:val="24"/>
          <w:szCs w:val="24"/>
        </w:rPr>
        <w:t>, conforme especificações a seguir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850"/>
        <w:gridCol w:w="2126"/>
        <w:gridCol w:w="1276"/>
        <w:gridCol w:w="1418"/>
      </w:tblGrid>
      <w:tr w:rsidR="002B5124" w:rsidRPr="00CE4059" w14:paraId="6D9B7269" w14:textId="77777777" w:rsidTr="00A57E5E">
        <w:tc>
          <w:tcPr>
            <w:tcW w:w="675" w:type="dxa"/>
            <w:shd w:val="clear" w:color="auto" w:fill="E0E0E0"/>
          </w:tcPr>
          <w:p w14:paraId="03E03051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E4059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E0E0E0"/>
          </w:tcPr>
          <w:p w14:paraId="4AAA3B83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E4059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851" w:type="dxa"/>
            <w:shd w:val="clear" w:color="auto" w:fill="E0E0E0"/>
          </w:tcPr>
          <w:p w14:paraId="7FB9F13E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E4059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E0E0E0"/>
          </w:tcPr>
          <w:p w14:paraId="1B68E3DE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E4059">
              <w:rPr>
                <w:rFonts w:ascii="Arial" w:hAnsi="Arial" w:cs="Arial"/>
                <w:b/>
                <w:sz w:val="22"/>
                <w:szCs w:val="22"/>
              </w:rPr>
              <w:t>Unid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E0E0E0"/>
          </w:tcPr>
          <w:p w14:paraId="21FA775E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E4059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276" w:type="dxa"/>
            <w:shd w:val="clear" w:color="auto" w:fill="E0E0E0"/>
          </w:tcPr>
          <w:p w14:paraId="20C22213" w14:textId="77777777" w:rsidR="002B5124" w:rsidRDefault="002B5124" w:rsidP="00A57E5E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E4059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  <w:p w14:paraId="52A1ECF9" w14:textId="77777777" w:rsidR="002B5124" w:rsidRPr="0075672F" w:rsidRDefault="002B5124" w:rsidP="00A57E5E">
            <w:pPr>
              <w:tabs>
                <w:tab w:val="left" w:pos="13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8" w:type="dxa"/>
            <w:shd w:val="clear" w:color="auto" w:fill="E0E0E0"/>
          </w:tcPr>
          <w:p w14:paraId="290CDD88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E4059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2B5124" w:rsidRPr="00CE4059" w14:paraId="515DB711" w14:textId="77777777" w:rsidTr="00A57E5E">
        <w:tc>
          <w:tcPr>
            <w:tcW w:w="675" w:type="dxa"/>
            <w:shd w:val="clear" w:color="auto" w:fill="auto"/>
          </w:tcPr>
          <w:p w14:paraId="7F811556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61C735D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2.08.08.0001-3</w:t>
            </w:r>
          </w:p>
        </w:tc>
        <w:tc>
          <w:tcPr>
            <w:tcW w:w="851" w:type="dxa"/>
            <w:shd w:val="clear" w:color="auto" w:fill="auto"/>
          </w:tcPr>
          <w:p w14:paraId="5C8278A5" w14:textId="40C2B7BA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45B452F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2126" w:type="dxa"/>
            <w:shd w:val="clear" w:color="auto" w:fill="auto"/>
          </w:tcPr>
          <w:p w14:paraId="0C79DD7D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SERVIÇO DE COLOCAÇÃO DE FECHADURA</w:t>
            </w:r>
          </w:p>
        </w:tc>
        <w:tc>
          <w:tcPr>
            <w:tcW w:w="1276" w:type="dxa"/>
            <w:shd w:val="clear" w:color="auto" w:fill="auto"/>
          </w:tcPr>
          <w:p w14:paraId="3A32CDD7" w14:textId="4898DADA" w:rsidR="002B5124" w:rsidRPr="00CE4059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B5736">
              <w:rPr>
                <w:rFonts w:ascii="Arial" w:hAnsi="Arial" w:cs="Arial"/>
                <w:sz w:val="22"/>
                <w:szCs w:val="22"/>
              </w:rPr>
              <w:t>80,00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A0F8B3E" w14:textId="3B112887" w:rsidR="002B5124" w:rsidRPr="00CE4059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R$ 8</w:t>
            </w:r>
            <w:r w:rsidR="005B573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B5124" w:rsidRPr="00CE4059" w14:paraId="38286EE4" w14:textId="77777777" w:rsidTr="00A57E5E">
        <w:tc>
          <w:tcPr>
            <w:tcW w:w="675" w:type="dxa"/>
            <w:shd w:val="clear" w:color="auto" w:fill="auto"/>
          </w:tcPr>
          <w:p w14:paraId="1344F673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7AF4323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2.08.08.0008-0</w:t>
            </w:r>
          </w:p>
        </w:tc>
        <w:tc>
          <w:tcPr>
            <w:tcW w:w="851" w:type="dxa"/>
            <w:shd w:val="clear" w:color="auto" w:fill="auto"/>
          </w:tcPr>
          <w:p w14:paraId="79AF79BE" w14:textId="01F8F931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5BDE5AAB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2126" w:type="dxa"/>
            <w:shd w:val="clear" w:color="auto" w:fill="auto"/>
          </w:tcPr>
          <w:p w14:paraId="7C493AA5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SERVIÇO DE CONFECÇÃO DE CHAVE YALE</w:t>
            </w:r>
          </w:p>
        </w:tc>
        <w:tc>
          <w:tcPr>
            <w:tcW w:w="1276" w:type="dxa"/>
            <w:shd w:val="clear" w:color="auto" w:fill="auto"/>
          </w:tcPr>
          <w:p w14:paraId="205BB4B2" w14:textId="60502CF4" w:rsidR="002B5124" w:rsidRPr="00CE4059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R$ 10,00 </w:t>
            </w:r>
          </w:p>
        </w:tc>
        <w:tc>
          <w:tcPr>
            <w:tcW w:w="1418" w:type="dxa"/>
            <w:shd w:val="clear" w:color="auto" w:fill="auto"/>
          </w:tcPr>
          <w:p w14:paraId="792FC1BD" w14:textId="04E9F6A0" w:rsidR="002B5124" w:rsidRPr="00CE4059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R$ 2.500,00</w:t>
            </w:r>
          </w:p>
        </w:tc>
      </w:tr>
      <w:tr w:rsidR="002B5124" w:rsidRPr="00CE4059" w14:paraId="50FA8B2B" w14:textId="77777777" w:rsidTr="00A57E5E">
        <w:tc>
          <w:tcPr>
            <w:tcW w:w="675" w:type="dxa"/>
            <w:shd w:val="clear" w:color="auto" w:fill="auto"/>
          </w:tcPr>
          <w:p w14:paraId="0232E4CB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57FE98E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2.08.08.0009-9</w:t>
            </w:r>
          </w:p>
        </w:tc>
        <w:tc>
          <w:tcPr>
            <w:tcW w:w="851" w:type="dxa"/>
            <w:shd w:val="clear" w:color="auto" w:fill="auto"/>
          </w:tcPr>
          <w:p w14:paraId="472FD410" w14:textId="723B33BC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0E754BD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2126" w:type="dxa"/>
            <w:shd w:val="clear" w:color="auto" w:fill="auto"/>
          </w:tcPr>
          <w:p w14:paraId="15AA91DB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SERVIÇO DE CONFECÇÃO DE CHAVE TETRA</w:t>
            </w:r>
          </w:p>
        </w:tc>
        <w:tc>
          <w:tcPr>
            <w:tcW w:w="1276" w:type="dxa"/>
            <w:shd w:val="clear" w:color="auto" w:fill="auto"/>
          </w:tcPr>
          <w:p w14:paraId="4BAA4511" w14:textId="7660ED04" w:rsidR="002B5124" w:rsidRPr="00CE4059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R$ 20,00</w:t>
            </w:r>
          </w:p>
        </w:tc>
        <w:tc>
          <w:tcPr>
            <w:tcW w:w="1418" w:type="dxa"/>
            <w:shd w:val="clear" w:color="auto" w:fill="auto"/>
          </w:tcPr>
          <w:p w14:paraId="5E287417" w14:textId="30278352" w:rsidR="002B5124" w:rsidRPr="00CE4059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R$ 200,00</w:t>
            </w:r>
          </w:p>
        </w:tc>
      </w:tr>
      <w:tr w:rsidR="002B5124" w:rsidRPr="00CE4059" w14:paraId="7C3AAB16" w14:textId="77777777" w:rsidTr="00A57E5E">
        <w:tc>
          <w:tcPr>
            <w:tcW w:w="675" w:type="dxa"/>
            <w:shd w:val="clear" w:color="auto" w:fill="auto"/>
          </w:tcPr>
          <w:p w14:paraId="36B9D148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19E76C6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2.08.08.0010-2</w:t>
            </w:r>
          </w:p>
        </w:tc>
        <w:tc>
          <w:tcPr>
            <w:tcW w:w="851" w:type="dxa"/>
            <w:shd w:val="clear" w:color="auto" w:fill="auto"/>
          </w:tcPr>
          <w:p w14:paraId="073F4594" w14:textId="66C3F1FF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215CE25C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2126" w:type="dxa"/>
            <w:shd w:val="clear" w:color="auto" w:fill="auto"/>
          </w:tcPr>
          <w:p w14:paraId="0364A19E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SERVIÇO DE TROCA DE SEGREDO CILINDRO YALE</w:t>
            </w:r>
          </w:p>
        </w:tc>
        <w:tc>
          <w:tcPr>
            <w:tcW w:w="1276" w:type="dxa"/>
            <w:shd w:val="clear" w:color="auto" w:fill="auto"/>
          </w:tcPr>
          <w:p w14:paraId="4698D4BC" w14:textId="42F492B9" w:rsidR="002B5124" w:rsidRPr="00CE4059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B573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025FBD2" w14:textId="0B60CA36" w:rsidR="002B5124" w:rsidRPr="00CE4059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</w:t>
            </w:r>
            <w:r w:rsidR="005B573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2B5124" w:rsidRPr="00CE4059" w14:paraId="290430F3" w14:textId="77777777" w:rsidTr="00A57E5E">
        <w:tc>
          <w:tcPr>
            <w:tcW w:w="675" w:type="dxa"/>
            <w:shd w:val="clear" w:color="auto" w:fill="auto"/>
          </w:tcPr>
          <w:p w14:paraId="71C2584F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7C2CF80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2.08.08.0011-0</w:t>
            </w:r>
          </w:p>
        </w:tc>
        <w:tc>
          <w:tcPr>
            <w:tcW w:w="851" w:type="dxa"/>
            <w:shd w:val="clear" w:color="auto" w:fill="auto"/>
          </w:tcPr>
          <w:p w14:paraId="179F44A2" w14:textId="1EC46CAB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418BA3D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2126" w:type="dxa"/>
            <w:shd w:val="clear" w:color="auto" w:fill="auto"/>
          </w:tcPr>
          <w:p w14:paraId="53ADA9A0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 xml:space="preserve">SERVIÇO DE TROCA DE </w:t>
            </w:r>
            <w:r w:rsidRPr="00CE4059">
              <w:rPr>
                <w:rFonts w:ascii="Arial" w:hAnsi="Arial" w:cs="Arial"/>
                <w:sz w:val="22"/>
                <w:szCs w:val="22"/>
              </w:rPr>
              <w:lastRenderedPageBreak/>
              <w:t>SEGREDO DE TRAVA TETRA</w:t>
            </w:r>
          </w:p>
        </w:tc>
        <w:tc>
          <w:tcPr>
            <w:tcW w:w="1276" w:type="dxa"/>
            <w:shd w:val="clear" w:color="auto" w:fill="auto"/>
          </w:tcPr>
          <w:p w14:paraId="48513571" w14:textId="79EC128F" w:rsidR="002B5124" w:rsidRPr="00CE4059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R$ </w:t>
            </w:r>
            <w:r w:rsidR="005B5736">
              <w:rPr>
                <w:rFonts w:ascii="Arial" w:hAnsi="Arial" w:cs="Arial"/>
                <w:sz w:val="22"/>
                <w:szCs w:val="22"/>
              </w:rPr>
              <w:t>65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6E7C137A" w14:textId="76FFCC63" w:rsidR="002B5124" w:rsidRPr="00CE4059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</w:t>
            </w:r>
            <w:r w:rsidR="005B5736"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B5124" w:rsidRPr="00CE4059" w14:paraId="66601FB3" w14:textId="77777777" w:rsidTr="00A57E5E">
        <w:tc>
          <w:tcPr>
            <w:tcW w:w="675" w:type="dxa"/>
            <w:shd w:val="clear" w:color="auto" w:fill="auto"/>
          </w:tcPr>
          <w:p w14:paraId="20D6970C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36D66BF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2.08.08.0013-7</w:t>
            </w:r>
          </w:p>
        </w:tc>
        <w:tc>
          <w:tcPr>
            <w:tcW w:w="851" w:type="dxa"/>
            <w:shd w:val="clear" w:color="auto" w:fill="auto"/>
          </w:tcPr>
          <w:p w14:paraId="770BA0D9" w14:textId="402228A3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1426A184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2126" w:type="dxa"/>
            <w:shd w:val="clear" w:color="auto" w:fill="auto"/>
          </w:tcPr>
          <w:p w14:paraId="290F0205" w14:textId="77777777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E4059">
              <w:rPr>
                <w:rFonts w:ascii="Arial" w:hAnsi="Arial" w:cs="Arial"/>
                <w:sz w:val="22"/>
                <w:szCs w:val="22"/>
              </w:rPr>
              <w:t>SERVIÇO DE ABERTURA DE PORTA</w:t>
            </w:r>
          </w:p>
        </w:tc>
        <w:tc>
          <w:tcPr>
            <w:tcW w:w="1276" w:type="dxa"/>
            <w:shd w:val="clear" w:color="auto" w:fill="auto"/>
          </w:tcPr>
          <w:p w14:paraId="3FCD5514" w14:textId="1216B0FE" w:rsidR="002B5124" w:rsidRPr="00CE4059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</w:t>
            </w:r>
            <w:r w:rsidR="005B573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4345C33F" w14:textId="4A5232A7" w:rsidR="002B5124" w:rsidRPr="00CE4059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</w:t>
            </w:r>
            <w:r w:rsidR="005B573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2B5124" w:rsidRPr="00CE4059" w14:paraId="61991EB1" w14:textId="77777777" w:rsidTr="00A57E5E">
        <w:tc>
          <w:tcPr>
            <w:tcW w:w="675" w:type="dxa"/>
            <w:shd w:val="clear" w:color="auto" w:fill="auto"/>
          </w:tcPr>
          <w:p w14:paraId="08113F71" w14:textId="175439A5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8BB933E" w14:textId="544CBBE2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2.08.08.0015-3</w:t>
            </w:r>
          </w:p>
        </w:tc>
        <w:tc>
          <w:tcPr>
            <w:tcW w:w="851" w:type="dxa"/>
            <w:shd w:val="clear" w:color="auto" w:fill="auto"/>
          </w:tcPr>
          <w:p w14:paraId="6F0C660C" w14:textId="45E07A61" w:rsidR="002B5124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49B3C0DC" w14:textId="3C967E4D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2126" w:type="dxa"/>
            <w:shd w:val="clear" w:color="auto" w:fill="auto"/>
          </w:tcPr>
          <w:p w14:paraId="0FFAA459" w14:textId="3C11CC30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CONFECÇÃO DE CHAVE ORIGINAL POR MEIO DE RETIRADA DE MIOLO</w:t>
            </w:r>
          </w:p>
        </w:tc>
        <w:tc>
          <w:tcPr>
            <w:tcW w:w="1276" w:type="dxa"/>
            <w:shd w:val="clear" w:color="auto" w:fill="auto"/>
          </w:tcPr>
          <w:p w14:paraId="1D7F9771" w14:textId="7F2D2663" w:rsidR="002B5124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B5736"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42E18ADD" w14:textId="2E02FC6B" w:rsidR="002B5124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B5736">
              <w:rPr>
                <w:rFonts w:ascii="Arial" w:hAnsi="Arial" w:cs="Arial"/>
                <w:sz w:val="22"/>
                <w:szCs w:val="22"/>
              </w:rPr>
              <w:t>825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B5124" w:rsidRPr="00CE4059" w14:paraId="2E553EBA" w14:textId="77777777" w:rsidTr="00A57E5E">
        <w:tc>
          <w:tcPr>
            <w:tcW w:w="675" w:type="dxa"/>
            <w:shd w:val="clear" w:color="auto" w:fill="auto"/>
          </w:tcPr>
          <w:p w14:paraId="40A1F44B" w14:textId="6568BC46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025AF2C" w14:textId="6126FF50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2.08.08.0016-1</w:t>
            </w:r>
          </w:p>
        </w:tc>
        <w:tc>
          <w:tcPr>
            <w:tcW w:w="851" w:type="dxa"/>
            <w:shd w:val="clear" w:color="auto" w:fill="auto"/>
          </w:tcPr>
          <w:p w14:paraId="60BE013A" w14:textId="6E36420E" w:rsidR="002B5124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7441EA87" w14:textId="7FDD8F63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2126" w:type="dxa"/>
            <w:shd w:val="clear" w:color="auto" w:fill="auto"/>
          </w:tcPr>
          <w:p w14:paraId="1FCF42CB" w14:textId="286D3DD9" w:rsidR="002B5124" w:rsidRPr="00CE4059" w:rsidRDefault="002B5124" w:rsidP="00A57E5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SERVIÇO DE MANUTENÇÃO EM FECHADURAS</w:t>
            </w:r>
          </w:p>
        </w:tc>
        <w:tc>
          <w:tcPr>
            <w:tcW w:w="1276" w:type="dxa"/>
            <w:shd w:val="clear" w:color="auto" w:fill="auto"/>
          </w:tcPr>
          <w:p w14:paraId="6D422210" w14:textId="16F7C965" w:rsidR="002B5124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B573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1D21A21F" w14:textId="06DA63CD" w:rsidR="002B5124" w:rsidRDefault="002B5124" w:rsidP="00A57E5E">
            <w:pPr>
              <w:suppressAutoHyphens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B5736">
              <w:rPr>
                <w:rFonts w:ascii="Arial" w:hAnsi="Arial" w:cs="Arial"/>
                <w:sz w:val="22"/>
                <w:szCs w:val="22"/>
              </w:rPr>
              <w:t>2.500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2B5124" w:rsidRPr="00CE4059" w14:paraId="3B12E057" w14:textId="77777777" w:rsidTr="009D5AA4">
        <w:tc>
          <w:tcPr>
            <w:tcW w:w="7479" w:type="dxa"/>
            <w:gridSpan w:val="6"/>
            <w:shd w:val="clear" w:color="auto" w:fill="auto"/>
          </w:tcPr>
          <w:p w14:paraId="3E60ADDD" w14:textId="12D749A4" w:rsidR="002B5124" w:rsidRPr="005250D9" w:rsidRDefault="002B5124" w:rsidP="00A57E5E">
            <w:pPr>
              <w:suppressAutoHyphens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0D9">
              <w:rPr>
                <w:rFonts w:ascii="Arial" w:hAnsi="Arial" w:cs="Arial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418" w:type="dxa"/>
            <w:shd w:val="clear" w:color="auto" w:fill="auto"/>
          </w:tcPr>
          <w:p w14:paraId="1DFAD6E5" w14:textId="0ADE60CD" w:rsidR="002B5124" w:rsidRPr="005250D9" w:rsidRDefault="002B5124" w:rsidP="00A57E5E">
            <w:pPr>
              <w:suppressAutoHyphens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0D9">
              <w:rPr>
                <w:rFonts w:ascii="Arial" w:hAnsi="Arial" w:cs="Arial"/>
                <w:b/>
                <w:bCs/>
                <w:sz w:val="22"/>
                <w:szCs w:val="22"/>
              </w:rPr>
              <w:t>R$ 9.</w:t>
            </w:r>
            <w:r w:rsidR="005B5736">
              <w:rPr>
                <w:rFonts w:ascii="Arial" w:hAnsi="Arial" w:cs="Arial"/>
                <w:b/>
                <w:bCs/>
                <w:sz w:val="22"/>
                <w:szCs w:val="22"/>
              </w:rPr>
              <w:t>850</w:t>
            </w:r>
            <w:r w:rsidRPr="005250D9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</w:tbl>
    <w:p w14:paraId="40FDCA22" w14:textId="42531A40" w:rsidR="00D90217" w:rsidRDefault="00D90217" w:rsidP="00CE1BE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5355A1" w14:textId="71FD362B" w:rsidR="00D90217" w:rsidRPr="00CE1BE1" w:rsidRDefault="00CE1BE1" w:rsidP="00CE1BE1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E1BE1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1A13FAC5" w14:textId="38549AE8" w:rsidR="00CE1BE1" w:rsidRDefault="008977FA" w:rsidP="00CE1BE1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Contratante pagará à contratada o valor total de R$ </w:t>
      </w:r>
      <w:r w:rsidR="005250D9">
        <w:rPr>
          <w:rFonts w:asciiTheme="minorHAnsi" w:hAnsiTheme="minorHAnsi" w:cstheme="minorHAnsi"/>
          <w:sz w:val="24"/>
          <w:szCs w:val="24"/>
        </w:rPr>
        <w:t>9.</w:t>
      </w:r>
      <w:r w:rsidR="00315FB2">
        <w:rPr>
          <w:rFonts w:asciiTheme="minorHAnsi" w:hAnsiTheme="minorHAnsi" w:cstheme="minorHAnsi"/>
          <w:sz w:val="24"/>
          <w:szCs w:val="24"/>
        </w:rPr>
        <w:t>8</w:t>
      </w:r>
      <w:r w:rsidR="005B5736">
        <w:rPr>
          <w:rFonts w:asciiTheme="minorHAnsi" w:hAnsiTheme="minorHAnsi" w:cstheme="minorHAnsi"/>
          <w:sz w:val="24"/>
          <w:szCs w:val="24"/>
        </w:rPr>
        <w:t>50</w:t>
      </w:r>
      <w:r w:rsidR="005250D9">
        <w:rPr>
          <w:rFonts w:asciiTheme="minorHAnsi" w:hAnsiTheme="minorHAnsi" w:cstheme="minorHAnsi"/>
          <w:sz w:val="24"/>
          <w:szCs w:val="24"/>
        </w:rPr>
        <w:t>,00</w:t>
      </w:r>
      <w:r w:rsidR="005B5736">
        <w:rPr>
          <w:rFonts w:asciiTheme="minorHAnsi" w:hAnsiTheme="minorHAnsi" w:cstheme="minorHAnsi"/>
          <w:sz w:val="24"/>
          <w:szCs w:val="24"/>
        </w:rPr>
        <w:t xml:space="preserve"> (Nove mil, oitocentos e cinquenta reais)</w:t>
      </w:r>
    </w:p>
    <w:p w14:paraId="0769A0C6" w14:textId="695CF827" w:rsidR="008977FA" w:rsidRDefault="008977FA" w:rsidP="00CE1BE1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977FA">
        <w:rPr>
          <w:rFonts w:asciiTheme="minorHAnsi" w:hAnsiTheme="minorHAnsi" w:cstheme="minorHAnsi"/>
          <w:sz w:val="24"/>
          <w:szCs w:val="24"/>
        </w:rPr>
        <w:t>As despesas decorrentes da contratação, objeto deste contrato, correrão à conta da dotação orçamentária no. 01.031.0001.2.373 – 3.3.90.</w:t>
      </w:r>
      <w:r w:rsidR="005250D9">
        <w:rPr>
          <w:rFonts w:asciiTheme="minorHAnsi" w:hAnsiTheme="minorHAnsi" w:cstheme="minorHAnsi"/>
          <w:sz w:val="24"/>
          <w:szCs w:val="24"/>
        </w:rPr>
        <w:t>39</w:t>
      </w:r>
      <w:r w:rsidRPr="008977FA">
        <w:rPr>
          <w:rFonts w:asciiTheme="minorHAnsi" w:hAnsiTheme="minorHAnsi" w:cstheme="minorHAnsi"/>
          <w:sz w:val="24"/>
          <w:szCs w:val="24"/>
        </w:rPr>
        <w:t xml:space="preserve"> </w:t>
      </w:r>
      <w:r w:rsidR="005250D9">
        <w:rPr>
          <w:rFonts w:asciiTheme="minorHAnsi" w:hAnsiTheme="minorHAnsi" w:cstheme="minorHAnsi"/>
          <w:sz w:val="24"/>
          <w:szCs w:val="24"/>
        </w:rPr>
        <w:t>–</w:t>
      </w:r>
      <w:r w:rsidRPr="008977FA">
        <w:rPr>
          <w:rFonts w:asciiTheme="minorHAnsi" w:hAnsiTheme="minorHAnsi" w:cstheme="minorHAnsi"/>
          <w:sz w:val="24"/>
          <w:szCs w:val="24"/>
        </w:rPr>
        <w:t xml:space="preserve"> </w:t>
      </w:r>
      <w:r w:rsidR="005250D9">
        <w:rPr>
          <w:rFonts w:asciiTheme="minorHAnsi" w:hAnsiTheme="minorHAnsi" w:cstheme="minorHAnsi"/>
          <w:sz w:val="24"/>
          <w:szCs w:val="24"/>
        </w:rPr>
        <w:t>Outros serviços de terceiros – Pessoa Jurídica</w:t>
      </w:r>
      <w:r w:rsidRPr="008977FA">
        <w:rPr>
          <w:rFonts w:asciiTheme="minorHAnsi" w:hAnsiTheme="minorHAnsi" w:cstheme="minorHAnsi"/>
          <w:sz w:val="24"/>
          <w:szCs w:val="24"/>
        </w:rPr>
        <w:t>, constante para o exercício de 202</w:t>
      </w:r>
      <w:r w:rsidR="005B5736">
        <w:rPr>
          <w:rFonts w:asciiTheme="minorHAnsi" w:hAnsiTheme="minorHAnsi" w:cstheme="minorHAnsi"/>
          <w:sz w:val="24"/>
          <w:szCs w:val="24"/>
        </w:rPr>
        <w:t>3.</w:t>
      </w:r>
    </w:p>
    <w:p w14:paraId="68D850A0" w14:textId="2DB95620" w:rsidR="008977FA" w:rsidRPr="00524506" w:rsidRDefault="008977FA" w:rsidP="008977FA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24506">
        <w:rPr>
          <w:rFonts w:asciiTheme="minorHAnsi" w:hAnsiTheme="minorHAnsi" w:cstheme="minorHAnsi"/>
          <w:b/>
          <w:bCs/>
          <w:sz w:val="24"/>
          <w:szCs w:val="24"/>
        </w:rPr>
        <w:t>Cláusula Terceira – Suporte Legal</w:t>
      </w:r>
    </w:p>
    <w:p w14:paraId="3A29C50B" w14:textId="5AF6C97E" w:rsid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8977FA">
        <w:rPr>
          <w:rFonts w:asciiTheme="minorHAnsi" w:hAnsiTheme="minorHAnsi" w:cstheme="minorHAnsi"/>
          <w:sz w:val="24"/>
          <w:szCs w:val="24"/>
        </w:rPr>
        <w:t>Lei Orgânica do Município de Piracicaba;</w:t>
      </w:r>
    </w:p>
    <w:p w14:paraId="489CD764" w14:textId="751305E8" w:rsid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Lei Federal n.º 10.520/02;</w:t>
      </w:r>
    </w:p>
    <w:p w14:paraId="75D696AE" w14:textId="00FE5DFA" w:rsid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Resolução n.º 08/05;</w:t>
      </w:r>
    </w:p>
    <w:p w14:paraId="3967F04D" w14:textId="0382DE9C" w:rsid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Lei Complementar n.º 123/06</w:t>
      </w:r>
    </w:p>
    <w:p w14:paraId="4EA2AE4F" w14:textId="2EA8DEFD" w:rsid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Lei n.º 8.666/93 e suas alterações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7521243" w14:textId="7C428705" w:rsidR="008977FA" w:rsidRPr="00524506" w:rsidRDefault="008977FA" w:rsidP="008977FA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24506">
        <w:rPr>
          <w:rFonts w:asciiTheme="minorHAnsi" w:hAnsiTheme="minorHAnsi" w:cstheme="minorHAnsi"/>
          <w:b/>
          <w:bCs/>
          <w:sz w:val="24"/>
          <w:szCs w:val="24"/>
        </w:rPr>
        <w:t>Cláusula Quarta – Administração e prazo de vigência do contrato</w:t>
      </w:r>
    </w:p>
    <w:p w14:paraId="1F42CEC4" w14:textId="7F592BD1" w:rsid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O Departamento Administrativo e de Documentação da Câmara Municipal de Piracicaba responsabilizar-se-á pela administração do Contrato</w:t>
      </w:r>
      <w:r w:rsidRPr="00676B7B">
        <w:rPr>
          <w:rFonts w:asciiTheme="minorHAnsi" w:hAnsiTheme="minorHAnsi" w:cstheme="minorHAnsi"/>
          <w:b/>
          <w:sz w:val="24"/>
          <w:szCs w:val="24"/>
        </w:rPr>
        <w:t>.</w:t>
      </w:r>
    </w:p>
    <w:p w14:paraId="0EB44C9C" w14:textId="0A183EE8" w:rsidR="008977FA" w:rsidRDefault="005B5736" w:rsidP="008977FA">
      <w:pPr>
        <w:pStyle w:val="ListParagraph"/>
        <w:numPr>
          <w:ilvl w:val="2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designado um servido do quadro da Câmara Municipal de Piracicaba como gestor do Presente Contrato</w:t>
      </w:r>
    </w:p>
    <w:p w14:paraId="2F4A3962" w14:textId="7CCBE0C1" w:rsidR="008977FA" w:rsidRDefault="008977FA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O contrato terá início </w:t>
      </w:r>
      <w:r>
        <w:rPr>
          <w:rFonts w:asciiTheme="minorHAnsi" w:hAnsiTheme="minorHAnsi" w:cstheme="minorHAnsi"/>
          <w:sz w:val="24"/>
          <w:szCs w:val="24"/>
        </w:rPr>
        <w:t xml:space="preserve">em </w:t>
      </w:r>
      <w:r w:rsidR="005250D9">
        <w:rPr>
          <w:rFonts w:asciiTheme="minorHAnsi" w:hAnsiTheme="minorHAnsi" w:cstheme="minorHAnsi"/>
          <w:sz w:val="24"/>
          <w:szCs w:val="24"/>
        </w:rPr>
        <w:t>14</w:t>
      </w:r>
      <w:r>
        <w:rPr>
          <w:rFonts w:asciiTheme="minorHAnsi" w:hAnsiTheme="minorHAnsi" w:cstheme="minorHAnsi"/>
          <w:sz w:val="24"/>
          <w:szCs w:val="24"/>
        </w:rPr>
        <w:t>/0</w:t>
      </w:r>
      <w:r w:rsidR="005250D9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/202</w:t>
      </w:r>
      <w:r w:rsidR="005B5736">
        <w:rPr>
          <w:rFonts w:asciiTheme="minorHAnsi" w:hAnsiTheme="minorHAnsi" w:cstheme="minorHAnsi"/>
          <w:sz w:val="24"/>
          <w:szCs w:val="24"/>
        </w:rPr>
        <w:t>3</w:t>
      </w:r>
      <w:r w:rsidRPr="00676B7B">
        <w:rPr>
          <w:rFonts w:asciiTheme="minorHAnsi" w:hAnsiTheme="minorHAnsi" w:cstheme="minorHAnsi"/>
          <w:sz w:val="24"/>
          <w:szCs w:val="24"/>
        </w:rPr>
        <w:t xml:space="preserve"> e término em </w:t>
      </w:r>
      <w:r w:rsidR="005250D9">
        <w:rPr>
          <w:rFonts w:asciiTheme="minorHAnsi" w:hAnsiTheme="minorHAnsi" w:cstheme="minorHAnsi"/>
          <w:sz w:val="24"/>
          <w:szCs w:val="24"/>
        </w:rPr>
        <w:t>13</w:t>
      </w:r>
      <w:r w:rsidRPr="00676B7B">
        <w:rPr>
          <w:rFonts w:asciiTheme="minorHAnsi" w:hAnsiTheme="minorHAnsi" w:cstheme="minorHAnsi"/>
          <w:sz w:val="24"/>
          <w:szCs w:val="24"/>
        </w:rPr>
        <w:t>/</w:t>
      </w:r>
      <w:r w:rsidR="005250D9">
        <w:rPr>
          <w:rFonts w:asciiTheme="minorHAnsi" w:hAnsiTheme="minorHAnsi" w:cstheme="minorHAnsi"/>
          <w:sz w:val="24"/>
          <w:szCs w:val="24"/>
        </w:rPr>
        <w:t>0</w:t>
      </w:r>
      <w:r w:rsidRPr="00676B7B">
        <w:rPr>
          <w:rFonts w:asciiTheme="minorHAnsi" w:hAnsiTheme="minorHAnsi" w:cstheme="minorHAnsi"/>
          <w:sz w:val="24"/>
          <w:szCs w:val="24"/>
        </w:rPr>
        <w:t>2/202</w:t>
      </w:r>
      <w:r w:rsidR="005B5736">
        <w:rPr>
          <w:rFonts w:asciiTheme="minorHAnsi" w:hAnsiTheme="minorHAnsi" w:cstheme="minorHAnsi"/>
          <w:sz w:val="24"/>
          <w:szCs w:val="24"/>
        </w:rPr>
        <w:t>4</w:t>
      </w:r>
    </w:p>
    <w:p w14:paraId="101417DA" w14:textId="43BC92BB" w:rsidR="008977FA" w:rsidRPr="006A7A55" w:rsidRDefault="008977FA" w:rsidP="008977FA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7A55">
        <w:rPr>
          <w:rFonts w:asciiTheme="minorHAnsi" w:hAnsiTheme="minorHAnsi" w:cstheme="minorHAnsi"/>
          <w:b/>
          <w:bCs/>
          <w:sz w:val="24"/>
          <w:szCs w:val="24"/>
        </w:rPr>
        <w:t xml:space="preserve">Cláusula Quinta – </w:t>
      </w:r>
      <w:r w:rsidR="005250D9">
        <w:rPr>
          <w:rFonts w:asciiTheme="minorHAnsi" w:hAnsiTheme="minorHAnsi" w:cstheme="minorHAnsi"/>
          <w:b/>
          <w:bCs/>
          <w:sz w:val="24"/>
          <w:szCs w:val="24"/>
        </w:rPr>
        <w:t>Pessoal</w:t>
      </w:r>
    </w:p>
    <w:p w14:paraId="60EB7BBC" w14:textId="77777777" w:rsidR="005250D9" w:rsidRPr="005250D9" w:rsidRDefault="005250D9" w:rsidP="008977FA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250D9">
        <w:rPr>
          <w:rFonts w:asciiTheme="minorHAnsi" w:hAnsiTheme="minorHAnsi" w:cstheme="minorHAnsi"/>
          <w:bCs/>
          <w:sz w:val="24"/>
          <w:szCs w:val="24"/>
        </w:rPr>
        <w:t xml:space="preserve">Competirá à CONTRATADA a admissão e registro de empregados necessários ao desempenho do fornecimento contratado, correndo por sua conta todos os encargos sociais, seguros, exigências das leis trabalhistas e previdenciárias, enfim </w:t>
      </w:r>
      <w:r w:rsidRPr="005250D9">
        <w:rPr>
          <w:rFonts w:asciiTheme="minorHAnsi" w:hAnsiTheme="minorHAnsi" w:cstheme="minorHAnsi"/>
          <w:bCs/>
          <w:sz w:val="24"/>
          <w:szCs w:val="24"/>
        </w:rPr>
        <w:lastRenderedPageBreak/>
        <w:t>todos os custos provenientes da execução dos fornecimentos objeto do presente contrato, não tendo os mesmos, vínculo empregatício algum com a CONTRATANTE.</w:t>
      </w:r>
    </w:p>
    <w:p w14:paraId="339CF32D" w14:textId="74148ACE" w:rsidR="008977FA" w:rsidRPr="006A7A55" w:rsidRDefault="008977FA" w:rsidP="008977FA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7A55">
        <w:rPr>
          <w:rFonts w:asciiTheme="minorHAnsi" w:hAnsiTheme="minorHAnsi" w:cstheme="minorHAnsi"/>
          <w:b/>
          <w:sz w:val="24"/>
          <w:szCs w:val="24"/>
        </w:rPr>
        <w:t xml:space="preserve">Cláusula Sexta </w:t>
      </w:r>
      <w:r w:rsidR="00524506" w:rsidRPr="006A7A55">
        <w:rPr>
          <w:rFonts w:asciiTheme="minorHAnsi" w:hAnsiTheme="minorHAnsi" w:cstheme="minorHAnsi"/>
          <w:b/>
          <w:sz w:val="24"/>
          <w:szCs w:val="24"/>
        </w:rPr>
        <w:t>–</w:t>
      </w:r>
      <w:r w:rsidRPr="006A7A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4DD2">
        <w:rPr>
          <w:rFonts w:asciiTheme="minorHAnsi" w:hAnsiTheme="minorHAnsi" w:cstheme="minorHAnsi"/>
          <w:b/>
          <w:sz w:val="24"/>
          <w:szCs w:val="24"/>
        </w:rPr>
        <w:t>Fornecimento e fiscalização do contrato</w:t>
      </w:r>
    </w:p>
    <w:p w14:paraId="1619F3B9" w14:textId="3CF4523A" w:rsidR="00704DD2" w:rsidRPr="00704DD2" w:rsidRDefault="00704DD2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DD2">
        <w:rPr>
          <w:rFonts w:asciiTheme="minorHAnsi" w:hAnsiTheme="minorHAnsi" w:cstheme="minorHAnsi"/>
          <w:bCs/>
          <w:sz w:val="24"/>
          <w:szCs w:val="24"/>
        </w:rPr>
        <w:t xml:space="preserve">A empresa CONTRATADA deverá </w:t>
      </w:r>
      <w:r>
        <w:rPr>
          <w:rFonts w:asciiTheme="minorHAnsi" w:hAnsiTheme="minorHAnsi" w:cstheme="minorHAnsi"/>
          <w:bCs/>
          <w:sz w:val="24"/>
          <w:szCs w:val="24"/>
        </w:rPr>
        <w:t>prestar</w:t>
      </w:r>
      <w:r w:rsidRPr="00704DD2">
        <w:rPr>
          <w:rFonts w:asciiTheme="minorHAnsi" w:hAnsiTheme="minorHAnsi" w:cstheme="minorHAnsi"/>
          <w:bCs/>
          <w:sz w:val="24"/>
          <w:szCs w:val="24"/>
        </w:rPr>
        <w:t xml:space="preserve"> os serviços na Câmara </w:t>
      </w:r>
      <w:r w:rsidR="005B5736">
        <w:rPr>
          <w:rFonts w:asciiTheme="minorHAnsi" w:hAnsiTheme="minorHAnsi" w:cstheme="minorHAnsi"/>
          <w:bCs/>
          <w:sz w:val="24"/>
          <w:szCs w:val="24"/>
        </w:rPr>
        <w:t>Municipal</w:t>
      </w:r>
      <w:r w:rsidRPr="00704DD2">
        <w:rPr>
          <w:rFonts w:asciiTheme="minorHAnsi" w:hAnsiTheme="minorHAnsi" w:cstheme="minorHAnsi"/>
          <w:bCs/>
          <w:sz w:val="24"/>
          <w:szCs w:val="24"/>
        </w:rPr>
        <w:t xml:space="preserve"> de Piracicaba, situada à Rua Alferes José Caetano, nº. 834, neste Município de Piracicaba, Estado de São Paulo e deverá cumprir as seguintes condições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16AC0BE2" w14:textId="77777777" w:rsidR="00704DD2" w:rsidRPr="00704DD2" w:rsidRDefault="00704DD2" w:rsidP="00704DD2">
      <w:pPr>
        <w:pStyle w:val="ListParagraph"/>
        <w:numPr>
          <w:ilvl w:val="2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DD2">
        <w:rPr>
          <w:rFonts w:asciiTheme="minorHAnsi" w:hAnsiTheme="minorHAnsi" w:cstheme="minorHAnsi"/>
          <w:bCs/>
          <w:sz w:val="24"/>
          <w:szCs w:val="24"/>
        </w:rPr>
        <w:t>Iniciar a prestação dos serviços, imediatamente, após assinatura do Contrato;</w:t>
      </w:r>
    </w:p>
    <w:p w14:paraId="56196CFF" w14:textId="56A57087" w:rsidR="00524506" w:rsidRPr="00704DD2" w:rsidRDefault="00704DD2" w:rsidP="00704DD2">
      <w:pPr>
        <w:pStyle w:val="ListParagraph"/>
        <w:numPr>
          <w:ilvl w:val="2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DD2">
        <w:rPr>
          <w:rFonts w:asciiTheme="minorHAnsi" w:hAnsiTheme="minorHAnsi" w:cstheme="minorHAnsi"/>
          <w:bCs/>
          <w:sz w:val="24"/>
          <w:szCs w:val="24"/>
        </w:rPr>
        <w:t xml:space="preserve">Efetuar os serviços, de acordo com as necessidades da Câmara </w:t>
      </w:r>
      <w:r w:rsidR="005B5736">
        <w:rPr>
          <w:rFonts w:asciiTheme="minorHAnsi" w:hAnsiTheme="minorHAnsi" w:cstheme="minorHAnsi"/>
          <w:bCs/>
          <w:sz w:val="24"/>
          <w:szCs w:val="24"/>
        </w:rPr>
        <w:t>Municipal</w:t>
      </w:r>
      <w:r w:rsidRPr="00704DD2">
        <w:rPr>
          <w:rFonts w:asciiTheme="minorHAnsi" w:hAnsiTheme="minorHAnsi" w:cstheme="minorHAnsi"/>
          <w:bCs/>
          <w:sz w:val="24"/>
          <w:szCs w:val="24"/>
        </w:rPr>
        <w:t xml:space="preserve"> de Piracicaba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12974B57" w14:textId="1C6C3082" w:rsidR="00704DD2" w:rsidRDefault="00704DD2" w:rsidP="00704DD2">
      <w:pPr>
        <w:pStyle w:val="ListParagraph"/>
        <w:numPr>
          <w:ilvl w:val="2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DD2">
        <w:rPr>
          <w:rFonts w:asciiTheme="minorHAnsi" w:hAnsiTheme="minorHAnsi" w:cstheme="minorHAnsi"/>
          <w:sz w:val="24"/>
          <w:szCs w:val="24"/>
        </w:rPr>
        <w:t xml:space="preserve">Seguir programação da Câmara </w:t>
      </w:r>
      <w:r w:rsidR="005B5736">
        <w:rPr>
          <w:rFonts w:asciiTheme="minorHAnsi" w:hAnsiTheme="minorHAnsi" w:cstheme="minorHAnsi"/>
          <w:sz w:val="24"/>
          <w:szCs w:val="24"/>
        </w:rPr>
        <w:t>Municipal</w:t>
      </w:r>
      <w:r w:rsidRPr="00704DD2">
        <w:rPr>
          <w:rFonts w:asciiTheme="minorHAnsi" w:hAnsiTheme="minorHAnsi" w:cstheme="minorHAnsi"/>
          <w:sz w:val="24"/>
          <w:szCs w:val="24"/>
        </w:rPr>
        <w:t xml:space="preserve"> quanto a data, local, quantidade e qualidade dos serviços a serem realizados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B967DE5" w14:textId="6DDC2744" w:rsidR="00704DD2" w:rsidRDefault="00704DD2" w:rsidP="00704DD2">
      <w:pPr>
        <w:pStyle w:val="ListParagraph"/>
        <w:numPr>
          <w:ilvl w:val="2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04DD2">
        <w:rPr>
          <w:rFonts w:asciiTheme="minorHAnsi" w:hAnsiTheme="minorHAnsi" w:cstheme="minorHAnsi"/>
          <w:sz w:val="24"/>
          <w:szCs w:val="24"/>
        </w:rPr>
        <w:t>O representante anotará em registro próprio todas as ocorrências relacionadas com o fornecimento parcelado dos serviços, determinando o que for necessário à regularização das faltas ou defeitos observados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1DB3AB7" w14:textId="77777777" w:rsidR="00704DD2" w:rsidRPr="00524506" w:rsidRDefault="00704DD2" w:rsidP="00704DD2">
      <w:pPr>
        <w:pStyle w:val="ListParagraph"/>
        <w:numPr>
          <w:ilvl w:val="2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BDA8600" w14:textId="35E7DA24" w:rsidR="00524506" w:rsidRPr="006A7A55" w:rsidRDefault="00524506" w:rsidP="00524506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7A55">
        <w:rPr>
          <w:rFonts w:asciiTheme="minorHAnsi" w:hAnsiTheme="minorHAnsi" w:cstheme="minorHAnsi"/>
          <w:b/>
          <w:sz w:val="24"/>
          <w:szCs w:val="24"/>
        </w:rPr>
        <w:t>Cláusula Sétima – Pagamentos</w:t>
      </w:r>
    </w:p>
    <w:p w14:paraId="446CF8E6" w14:textId="5A50A651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Os pagamentos serão efetuados após </w:t>
      </w:r>
      <w:r w:rsidR="00704DD2">
        <w:rPr>
          <w:rFonts w:asciiTheme="minorHAnsi" w:hAnsiTheme="minorHAnsi" w:cstheme="minorHAnsi"/>
          <w:sz w:val="24"/>
          <w:szCs w:val="24"/>
        </w:rPr>
        <w:t>a prestação dos serviços</w:t>
      </w:r>
      <w:r w:rsidRPr="00676B7B">
        <w:rPr>
          <w:rFonts w:asciiTheme="minorHAnsi" w:hAnsiTheme="minorHAnsi" w:cstheme="minorHAnsi"/>
          <w:sz w:val="24"/>
          <w:szCs w:val="24"/>
        </w:rPr>
        <w:t xml:space="preserve">, acompanhado de Nota Fiscal/Fatura, discriminada de acordo com a Nota de Empenho, após a conferência </w:t>
      </w:r>
      <w:r w:rsidR="00704DD2">
        <w:rPr>
          <w:rFonts w:asciiTheme="minorHAnsi" w:hAnsiTheme="minorHAnsi" w:cstheme="minorHAnsi"/>
          <w:sz w:val="24"/>
          <w:szCs w:val="24"/>
        </w:rPr>
        <w:t>da execução dos serviços pelo gestor do contrato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D96F836" w14:textId="37828389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O pagamento será creditado em favor do Fornecedor, por meio de ordem bancária, devendo para isto, ficar explicitado o nome do Banco, agência, localidade e número da conta corrente em que deverá ser efetivado o crédito, o qual ocorrerá</w:t>
      </w:r>
      <w:r w:rsidR="00704DD2">
        <w:rPr>
          <w:rFonts w:asciiTheme="minorHAnsi" w:hAnsiTheme="minorHAnsi" w:cstheme="minorHAnsi"/>
          <w:sz w:val="24"/>
          <w:szCs w:val="24"/>
        </w:rPr>
        <w:t xml:space="preserve"> em</w:t>
      </w:r>
      <w:r w:rsidRPr="00676B7B">
        <w:rPr>
          <w:rFonts w:asciiTheme="minorHAnsi" w:hAnsiTheme="minorHAnsi" w:cstheme="minorHAnsi"/>
          <w:sz w:val="24"/>
          <w:szCs w:val="24"/>
        </w:rPr>
        <w:t xml:space="preserve"> até 15 (quinze) dias corridos após a </w:t>
      </w:r>
      <w:r w:rsidR="00704DD2">
        <w:rPr>
          <w:rFonts w:asciiTheme="minorHAnsi" w:hAnsiTheme="minorHAnsi" w:cstheme="minorHAnsi"/>
          <w:sz w:val="24"/>
          <w:szCs w:val="24"/>
        </w:rPr>
        <w:t>prestação dos serviços</w:t>
      </w:r>
      <w:r w:rsidRPr="00676B7B">
        <w:rPr>
          <w:rFonts w:asciiTheme="minorHAnsi" w:hAnsiTheme="minorHAnsi" w:cstheme="minorHAnsi"/>
          <w:sz w:val="24"/>
          <w:szCs w:val="24"/>
        </w:rPr>
        <w:t>, mediante a aceitação e atesto das Notas Fiscais/Faturas;</w:t>
      </w:r>
    </w:p>
    <w:p w14:paraId="6FAA7A17" w14:textId="7EF80585" w:rsidR="00524506" w:rsidRDefault="005B573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</w:t>
      </w:r>
      <w:r w:rsidR="00524506" w:rsidRPr="00676B7B">
        <w:rPr>
          <w:rFonts w:asciiTheme="minorHAnsi" w:hAnsiTheme="minorHAnsi" w:cstheme="minorHAnsi"/>
          <w:sz w:val="24"/>
          <w:szCs w:val="24"/>
        </w:rPr>
        <w:t xml:space="preserve"> procedida consulta </w:t>
      </w:r>
      <w:r w:rsidR="00524506" w:rsidRPr="00676B7B">
        <w:rPr>
          <w:rFonts w:asciiTheme="minorHAnsi" w:hAnsiTheme="minorHAnsi" w:cstheme="minorHAnsi"/>
          <w:i/>
          <w:sz w:val="24"/>
          <w:szCs w:val="24"/>
        </w:rPr>
        <w:t>“online”</w:t>
      </w:r>
      <w:r w:rsidR="00524506" w:rsidRPr="00676B7B">
        <w:rPr>
          <w:rFonts w:asciiTheme="minorHAnsi" w:hAnsiTheme="minorHAnsi" w:cstheme="minorHAnsi"/>
          <w:sz w:val="24"/>
          <w:szCs w:val="24"/>
        </w:rPr>
        <w:t xml:space="preserve"> junto aos órgãos correspondentes antes do pagamento a ser efetuado ao fornecedor, para verificação da situação do mesmo, relativamente às condições de habilitação exigidas, cujos resultados serão impressos e juntados aos autos do processo próprio;</w:t>
      </w:r>
    </w:p>
    <w:p w14:paraId="0BF8AF7D" w14:textId="66F9776B" w:rsidR="005B5736" w:rsidRDefault="005B5736" w:rsidP="005B5736">
      <w:pPr>
        <w:pStyle w:val="ListParagraph"/>
        <w:numPr>
          <w:ilvl w:val="2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 caso de inadimplência da empresa, o gestor do contrato irá relatar o ocorrido, conceder prazo para regularização, sob pena de aplicação das sanções cabíveis.</w:t>
      </w:r>
    </w:p>
    <w:p w14:paraId="266EEA15" w14:textId="63490443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Caso haja aplicação de multa, o valor será descontado de qualquer fatura ou crédito existente na Câmara Municipal de Piracicaba em favor do fornecedor. </w:t>
      </w:r>
      <w:r w:rsidRPr="00676B7B">
        <w:rPr>
          <w:rFonts w:asciiTheme="minorHAnsi" w:hAnsiTheme="minorHAnsi" w:cstheme="minorHAnsi"/>
          <w:sz w:val="24"/>
          <w:szCs w:val="24"/>
        </w:rPr>
        <w:lastRenderedPageBreak/>
        <w:t>Caso a multa seja superior ao crédito eventualmente existente, a diferença será cobrada administrativamente, ou judicialmente, se necessário;</w:t>
      </w:r>
    </w:p>
    <w:p w14:paraId="03355D5A" w14:textId="6CAFFDCB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pertinente.</w:t>
      </w:r>
    </w:p>
    <w:p w14:paraId="36A83CE6" w14:textId="22C18106" w:rsidR="00524506" w:rsidRPr="006A7A55" w:rsidRDefault="00524506" w:rsidP="00524506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7A55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410B02B7" w14:textId="163D2DAD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O presente Contrato não sofrerá </w:t>
      </w:r>
      <w:r w:rsidR="00E067D2">
        <w:rPr>
          <w:rFonts w:asciiTheme="minorHAnsi" w:hAnsiTheme="minorHAnsi" w:cstheme="minorHAnsi"/>
          <w:sz w:val="24"/>
          <w:szCs w:val="24"/>
        </w:rPr>
        <w:t>por um período de 12 meses, após esse prazo, caso seja feita a renovação</w:t>
      </w:r>
      <w:r w:rsidR="00BD3FCF">
        <w:rPr>
          <w:rFonts w:asciiTheme="minorHAnsi" w:hAnsiTheme="minorHAnsi" w:cstheme="minorHAnsi"/>
          <w:sz w:val="24"/>
          <w:szCs w:val="24"/>
        </w:rPr>
        <w:t>, o contrato poderá ser reajustado com base no índice IN</w:t>
      </w:r>
      <w:r w:rsidR="0071566C">
        <w:rPr>
          <w:rFonts w:asciiTheme="minorHAnsi" w:hAnsiTheme="minorHAnsi" w:cstheme="minorHAnsi"/>
          <w:sz w:val="24"/>
          <w:szCs w:val="24"/>
        </w:rPr>
        <w:t>PC (IBGE).</w:t>
      </w:r>
    </w:p>
    <w:p w14:paraId="2ECC660F" w14:textId="33060920" w:rsidR="00524506" w:rsidRPr="006A7A55" w:rsidRDefault="00524506" w:rsidP="00524506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7A55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262E9B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6A7A55">
        <w:rPr>
          <w:rFonts w:asciiTheme="minorHAnsi" w:hAnsiTheme="minorHAnsi" w:cstheme="minorHAnsi"/>
          <w:b/>
          <w:bCs/>
          <w:sz w:val="24"/>
          <w:szCs w:val="24"/>
        </w:rPr>
        <w:t>áusula Nona – Rescisão</w:t>
      </w:r>
    </w:p>
    <w:p w14:paraId="64B7E121" w14:textId="7B5902B7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24506">
        <w:rPr>
          <w:rFonts w:asciiTheme="minorHAnsi" w:hAnsiTheme="minorHAnsi" w:cstheme="minorHAnsi"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0CA324D" w14:textId="13DB59BA" w:rsidR="00524506" w:rsidRPr="006A7A55" w:rsidRDefault="00524506" w:rsidP="00524506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7A55">
        <w:rPr>
          <w:rFonts w:asciiTheme="minorHAnsi" w:hAnsiTheme="minorHAnsi" w:cstheme="minorHAnsi"/>
          <w:b/>
          <w:bCs/>
          <w:sz w:val="24"/>
          <w:szCs w:val="24"/>
        </w:rPr>
        <w:t>Cláusula Décima – Sanções Administrativas</w:t>
      </w:r>
    </w:p>
    <w:p w14:paraId="35D34E90" w14:textId="2DD433BB" w:rsidR="00524506" w:rsidRDefault="00524506" w:rsidP="00524506">
      <w:pPr>
        <w:pStyle w:val="ListParagraph"/>
        <w:numPr>
          <w:ilvl w:val="1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sz w:val="24"/>
          <w:szCs w:val="24"/>
        </w:rPr>
        <w:t>Pela inexecução total ou parcial da prestação de serviço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B5736">
        <w:rPr>
          <w:rFonts w:asciiTheme="minorHAnsi" w:hAnsiTheme="minorHAnsi" w:cstheme="minorHAnsi"/>
          <w:sz w:val="24"/>
          <w:szCs w:val="24"/>
        </w:rPr>
        <w:t>Contrato</w:t>
      </w:r>
      <w:r w:rsidRPr="004B4701">
        <w:rPr>
          <w:rFonts w:asciiTheme="minorHAnsi" w:hAnsiTheme="minorHAnsi" w:cstheme="minorHAnsi"/>
          <w:sz w:val="24"/>
          <w:szCs w:val="24"/>
        </w:rPr>
        <w:t xml:space="preserve">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defesa, aplicar à </w:t>
      </w:r>
      <w:r w:rsidR="005B5736">
        <w:rPr>
          <w:rFonts w:asciiTheme="minorHAnsi" w:hAnsiTheme="minorHAnsi" w:cstheme="minorHAnsi"/>
          <w:sz w:val="24"/>
          <w:szCs w:val="24"/>
        </w:rPr>
        <w:t>Contratada</w:t>
      </w:r>
      <w:r w:rsidRPr="004B4701">
        <w:rPr>
          <w:rFonts w:asciiTheme="minorHAnsi" w:hAnsiTheme="minorHAnsi" w:cstheme="minorHAnsi"/>
          <w:sz w:val="24"/>
          <w:szCs w:val="24"/>
        </w:rPr>
        <w:t xml:space="preserve"> as seguintes sanções:</w:t>
      </w:r>
    </w:p>
    <w:p w14:paraId="0679AF7A" w14:textId="77777777" w:rsidR="00524506" w:rsidRDefault="00524506" w:rsidP="005245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4D818A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096F30AD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09AB1067" w14:textId="4E325D64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02A0F1B3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73650EEE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06FAB56E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5B0EF5D5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(dois) anos;</w:t>
      </w:r>
    </w:p>
    <w:p w14:paraId="67F9C10C" w14:textId="77777777" w:rsidR="00524506" w:rsidRDefault="00524506" w:rsidP="00524506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736FCCF0" w14:textId="77777777" w:rsidR="00524506" w:rsidRDefault="00524506" w:rsidP="00524506">
      <w:pPr>
        <w:pStyle w:val="ListParagraph"/>
        <w:numPr>
          <w:ilvl w:val="1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14.1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úteis;</w:t>
      </w:r>
    </w:p>
    <w:p w14:paraId="2315FC64" w14:textId="77777777" w:rsidR="00524506" w:rsidRDefault="00524506" w:rsidP="005245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803CB5" w14:textId="257F0C56" w:rsidR="00524506" w:rsidRPr="004A0F50" w:rsidRDefault="00524506" w:rsidP="00524506">
      <w:pPr>
        <w:pStyle w:val="ListParagraph"/>
        <w:numPr>
          <w:ilvl w:val="1"/>
          <w:numId w:val="13"/>
        </w:numPr>
        <w:spacing w:after="240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63279">
        <w:rPr>
          <w:rFonts w:asciiTheme="minorHAnsi" w:hAnsiTheme="minorHAnsi" w:cstheme="minorHAnsi"/>
          <w:sz w:val="24"/>
          <w:szCs w:val="24"/>
        </w:rPr>
        <w:t>As penalidades serão obrigatoriamente registradas na Câmara Municipal de Piracicaba, no caso de suspensão de licitar, o licitante deverá ser descredenciado por igual período, sem prejuízos das multas previstas</w:t>
      </w:r>
      <w:r w:rsidR="005B5736">
        <w:rPr>
          <w:rFonts w:asciiTheme="minorHAnsi" w:hAnsiTheme="minorHAnsi" w:cstheme="minorHAnsi"/>
          <w:sz w:val="24"/>
          <w:szCs w:val="24"/>
        </w:rPr>
        <w:t>.</w:t>
      </w:r>
    </w:p>
    <w:p w14:paraId="610DE6C5" w14:textId="0C8325E8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</w:t>
      </w:r>
    </w:p>
    <w:p w14:paraId="1E51E144" w14:textId="268DE8B0" w:rsidR="00524506" w:rsidRPr="006A7A55" w:rsidRDefault="00524506" w:rsidP="00524506">
      <w:pPr>
        <w:pStyle w:val="ListParagraph"/>
        <w:numPr>
          <w:ilvl w:val="0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7A55">
        <w:rPr>
          <w:rFonts w:asciiTheme="minorHAnsi" w:hAnsiTheme="minorHAnsi" w:cstheme="minorHAnsi"/>
          <w:b/>
          <w:bCs/>
          <w:sz w:val="24"/>
          <w:szCs w:val="24"/>
        </w:rPr>
        <w:t>Cláusula Décima Primeira – Vinculação ao Processo</w:t>
      </w:r>
      <w:r w:rsidR="005B573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03743A" w14:textId="6A0E9F28" w:rsidR="00524506" w:rsidRDefault="00524506" w:rsidP="00524506">
      <w:pPr>
        <w:pStyle w:val="ListParagraph"/>
        <w:numPr>
          <w:ilvl w:val="1"/>
          <w:numId w:val="13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Fica vinculado o presente instrumento ao Processo Administrativo Nº </w:t>
      </w:r>
      <w:r w:rsidR="005B5736">
        <w:rPr>
          <w:rFonts w:asciiTheme="minorHAnsi" w:hAnsiTheme="minorHAnsi" w:cstheme="minorHAnsi"/>
          <w:sz w:val="24"/>
          <w:szCs w:val="24"/>
        </w:rPr>
        <w:t>57</w:t>
      </w:r>
      <w:r>
        <w:rPr>
          <w:rFonts w:asciiTheme="minorHAnsi" w:hAnsiTheme="minorHAnsi" w:cstheme="minorHAnsi"/>
          <w:sz w:val="24"/>
          <w:szCs w:val="24"/>
        </w:rPr>
        <w:t>/202</w:t>
      </w:r>
      <w:r w:rsidR="005B5736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e todos os seus anexos.</w:t>
      </w:r>
    </w:p>
    <w:p w14:paraId="76DB0C7C" w14:textId="11027ECF" w:rsidR="00524506" w:rsidRDefault="00524506" w:rsidP="00524506">
      <w:pPr>
        <w:spacing w:after="160" w:line="259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524506">
        <w:rPr>
          <w:rFonts w:asciiTheme="minorHAnsi" w:hAnsiTheme="minorHAnsi" w:cstheme="minorHAnsi"/>
          <w:sz w:val="24"/>
          <w:szCs w:val="24"/>
        </w:rPr>
        <w:t xml:space="preserve">Para </w:t>
      </w:r>
      <w:r w:rsidR="00262E9B" w:rsidRPr="00524506">
        <w:rPr>
          <w:rFonts w:asciiTheme="minorHAnsi" w:hAnsiTheme="minorHAnsi" w:cstheme="minorHAnsi"/>
          <w:sz w:val="24"/>
          <w:szCs w:val="24"/>
        </w:rPr>
        <w:t>todas as questões</w:t>
      </w:r>
      <w:r w:rsidRPr="00524506">
        <w:rPr>
          <w:rFonts w:asciiTheme="minorHAnsi" w:hAnsiTheme="minorHAnsi" w:cstheme="minorHAnsi"/>
          <w:sz w:val="24"/>
          <w:szCs w:val="24"/>
        </w:rPr>
        <w:t xml:space="preserve"> suscitadas na execução do Contrato, não resolvidas administrativamente, fica eleito o foro da Comarca de Piracicaba, com renúncia expressa de qual</w:t>
      </w:r>
      <w:r w:rsidRPr="00524506">
        <w:rPr>
          <w:rFonts w:asciiTheme="minorHAnsi" w:hAnsiTheme="minorHAnsi" w:cstheme="minorHAnsi"/>
          <w:sz w:val="24"/>
          <w:szCs w:val="24"/>
        </w:rPr>
        <w:softHyphen/>
        <w:t>quer outro, por mais privilegiado que seja</w:t>
      </w:r>
    </w:p>
    <w:p w14:paraId="1477270A" w14:textId="16C30408" w:rsidR="00524506" w:rsidRDefault="00524506" w:rsidP="0052450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E por estarem justas e contratadas, as partes assinam o presente ins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trumento particular de contrato em 0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76B7B">
        <w:rPr>
          <w:rFonts w:asciiTheme="minorHAnsi" w:hAnsiTheme="minorHAnsi" w:cstheme="minorHAnsi"/>
          <w:sz w:val="24"/>
          <w:szCs w:val="24"/>
        </w:rPr>
        <w:t xml:space="preserve"> vias de igual teor, for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ma e efeito, com todas as folhas devidamente rubricadas.</w:t>
      </w:r>
    </w:p>
    <w:p w14:paraId="527E5C54" w14:textId="54A8EFE9" w:rsidR="00524506" w:rsidRDefault="00524506" w:rsidP="00524506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96F6673" w14:textId="6A3D9BDD" w:rsidR="00524506" w:rsidRPr="00676B7B" w:rsidRDefault="00524506" w:rsidP="00524506">
      <w:pPr>
        <w:jc w:val="right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Piracicaba, </w:t>
      </w:r>
      <w:r w:rsidR="00262E9B">
        <w:rPr>
          <w:rFonts w:asciiTheme="minorHAnsi" w:hAnsiTheme="minorHAnsi" w:cstheme="minorHAnsi"/>
          <w:sz w:val="24"/>
          <w:szCs w:val="24"/>
        </w:rPr>
        <w:t>11 de fevereiro de 202</w:t>
      </w:r>
      <w:r w:rsidR="005B5736">
        <w:rPr>
          <w:rFonts w:asciiTheme="minorHAnsi" w:hAnsiTheme="minorHAnsi" w:cstheme="minorHAnsi"/>
          <w:sz w:val="24"/>
          <w:szCs w:val="24"/>
        </w:rPr>
        <w:t>3</w:t>
      </w:r>
    </w:p>
    <w:p w14:paraId="70089EF9" w14:textId="2E4FF0B4" w:rsidR="00524506" w:rsidRDefault="00524506" w:rsidP="00524506">
      <w:pPr>
        <w:ind w:firstLine="720"/>
        <w:jc w:val="right"/>
        <w:rPr>
          <w:rFonts w:asciiTheme="minorHAnsi" w:hAnsiTheme="minorHAnsi" w:cstheme="minorHAnsi"/>
          <w:sz w:val="24"/>
          <w:szCs w:val="24"/>
        </w:rPr>
      </w:pPr>
    </w:p>
    <w:p w14:paraId="4BD1ED80" w14:textId="4F91259C" w:rsidR="00524506" w:rsidRDefault="00524506" w:rsidP="00524506">
      <w:pPr>
        <w:ind w:firstLine="720"/>
        <w:jc w:val="right"/>
        <w:rPr>
          <w:rFonts w:asciiTheme="minorHAnsi" w:hAnsiTheme="minorHAnsi" w:cstheme="minorHAnsi"/>
          <w:sz w:val="24"/>
          <w:szCs w:val="24"/>
        </w:rPr>
      </w:pPr>
    </w:p>
    <w:p w14:paraId="7A1A9C36" w14:textId="77777777" w:rsidR="00524506" w:rsidRPr="00676B7B" w:rsidRDefault="00524506" w:rsidP="005245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CONTRATANTE</w:t>
      </w:r>
    </w:p>
    <w:p w14:paraId="69E7C29E" w14:textId="0942A497" w:rsidR="00524506" w:rsidRPr="00676B7B" w:rsidRDefault="005B5736" w:rsidP="005245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Wagner Alexandre de Oliveira</w:t>
      </w:r>
    </w:p>
    <w:p w14:paraId="7B22231A" w14:textId="02D94530" w:rsidR="00524506" w:rsidRDefault="00524506" w:rsidP="005245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Presidente da Câmara Municipal de Piracicaba</w:t>
      </w:r>
    </w:p>
    <w:p w14:paraId="643FF337" w14:textId="04626857" w:rsidR="00524506" w:rsidRDefault="00524506" w:rsidP="0052450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8C5B6E" w14:textId="77777777" w:rsidR="00524506" w:rsidRDefault="00524506" w:rsidP="0052450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8FEBE3" w14:textId="600D4E94" w:rsidR="00524506" w:rsidRDefault="00524506" w:rsidP="005245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CONTRATADA</w:t>
      </w:r>
    </w:p>
    <w:p w14:paraId="622305AB" w14:textId="77777777" w:rsidR="00262E9B" w:rsidRPr="00262E9B" w:rsidRDefault="00262E9B" w:rsidP="00262E9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62E9B">
        <w:rPr>
          <w:rFonts w:asciiTheme="minorHAnsi" w:hAnsiTheme="minorHAnsi" w:cstheme="minorHAnsi"/>
          <w:b/>
          <w:sz w:val="24"/>
          <w:szCs w:val="24"/>
        </w:rPr>
        <w:t>Reginaldo Inácio de Souza 06772415850</w:t>
      </w:r>
    </w:p>
    <w:p w14:paraId="0E5CB0E9" w14:textId="749D6675" w:rsidR="00524506" w:rsidRPr="00676B7B" w:rsidRDefault="00262E9B" w:rsidP="00262E9B">
      <w:pPr>
        <w:jc w:val="center"/>
        <w:rPr>
          <w:rFonts w:asciiTheme="minorHAnsi" w:hAnsiTheme="minorHAnsi" w:cstheme="minorHAnsi"/>
          <w:sz w:val="24"/>
          <w:szCs w:val="24"/>
        </w:rPr>
      </w:pPr>
      <w:r w:rsidRPr="00262E9B">
        <w:rPr>
          <w:rFonts w:asciiTheme="minorHAnsi" w:hAnsiTheme="minorHAnsi" w:cstheme="minorHAnsi"/>
          <w:b/>
          <w:sz w:val="24"/>
          <w:szCs w:val="24"/>
        </w:rPr>
        <w:t>Reginaldo Inácio de Souza</w:t>
      </w:r>
    </w:p>
    <w:p w14:paraId="225543B5" w14:textId="77777777" w:rsidR="00524506" w:rsidRPr="00524506" w:rsidRDefault="00524506" w:rsidP="00524506">
      <w:pPr>
        <w:spacing w:after="160" w:line="259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sectPr w:rsidR="00524506" w:rsidRPr="005245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6CF9" w14:textId="77777777" w:rsidR="00816052" w:rsidRDefault="00816052" w:rsidP="00640F2E">
      <w:r>
        <w:separator/>
      </w:r>
    </w:p>
  </w:endnote>
  <w:endnote w:type="continuationSeparator" w:id="0">
    <w:p w14:paraId="21E6E600" w14:textId="77777777" w:rsidR="00816052" w:rsidRDefault="00816052" w:rsidP="0064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0167" w14:textId="77777777" w:rsidR="00816052" w:rsidRDefault="00816052" w:rsidP="00640F2E">
      <w:r>
        <w:separator/>
      </w:r>
    </w:p>
  </w:footnote>
  <w:footnote w:type="continuationSeparator" w:id="0">
    <w:p w14:paraId="246F03B5" w14:textId="77777777" w:rsidR="00816052" w:rsidRDefault="00816052" w:rsidP="0064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06D5" w14:textId="77777777" w:rsidR="00816052" w:rsidRPr="00772005" w:rsidRDefault="00816052" w:rsidP="00816052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9D58FDD" wp14:editId="10FD10E4">
          <wp:simplePos x="0" y="0"/>
          <wp:positionH relativeFrom="column">
            <wp:posOffset>-537210</wp:posOffset>
          </wp:positionH>
          <wp:positionV relativeFrom="paragraph">
            <wp:posOffset>-232410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34E8BBFF" w14:textId="77777777" w:rsidR="00816052" w:rsidRPr="00772005" w:rsidRDefault="00816052" w:rsidP="00816052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5F80FC54" w14:textId="77777777" w:rsidR="00816052" w:rsidRPr="00772005" w:rsidRDefault="00816052" w:rsidP="00816052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725D196D" w14:textId="77777777" w:rsidR="00816052" w:rsidRDefault="00816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5721D8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5429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ED4EEF"/>
    <w:multiLevelType w:val="hybridMultilevel"/>
    <w:tmpl w:val="F27E913C"/>
    <w:lvl w:ilvl="0" w:tplc="04160019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7DF2484"/>
    <w:multiLevelType w:val="hybridMultilevel"/>
    <w:tmpl w:val="4306A2BE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24691495"/>
    <w:multiLevelType w:val="multilevel"/>
    <w:tmpl w:val="0416001F"/>
    <w:styleLink w:val="Edital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D621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01578F"/>
    <w:multiLevelType w:val="hybridMultilevel"/>
    <w:tmpl w:val="A7E0AB94"/>
    <w:lvl w:ilvl="0" w:tplc="04160019">
      <w:start w:val="1"/>
      <w:numFmt w:val="lowerLetter"/>
      <w:lvlText w:val="%1."/>
      <w:lvlJc w:val="lef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4B7330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3D7832"/>
    <w:multiLevelType w:val="multilevel"/>
    <w:tmpl w:val="0416001F"/>
    <w:numStyleLink w:val="Edital"/>
  </w:abstractNum>
  <w:abstractNum w:abstractNumId="9" w15:restartNumberingAfterBreak="0">
    <w:nsid w:val="6A2025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997081"/>
    <w:multiLevelType w:val="hybridMultilevel"/>
    <w:tmpl w:val="CCE2814C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7BE24E2A"/>
    <w:multiLevelType w:val="multilevel"/>
    <w:tmpl w:val="58F4F122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Theme="minorHAnsi" w:hAnsiTheme="minorHAnsi" w:hint="default"/>
        <w:b/>
        <w:i w:val="0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697" w:hanging="340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ind w:left="105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6" w:hanging="340"/>
      </w:pPr>
      <w:rPr>
        <w:rFonts w:hint="default"/>
      </w:rPr>
    </w:lvl>
  </w:abstractNum>
  <w:num w:numId="1" w16cid:durableId="78010625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122522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trike w:val="0"/>
          <w:dstrike w:val="0"/>
          <w:sz w:val="18"/>
          <w:u w:val="none"/>
          <w:effect w:val="none"/>
        </w:rPr>
      </w:lvl>
    </w:lvlOverride>
  </w:num>
  <w:num w:numId="3" w16cid:durableId="333457012">
    <w:abstractNumId w:val="5"/>
  </w:num>
  <w:num w:numId="4" w16cid:durableId="421417562">
    <w:abstractNumId w:val="2"/>
  </w:num>
  <w:num w:numId="5" w16cid:durableId="1889993379">
    <w:abstractNumId w:val="3"/>
  </w:num>
  <w:num w:numId="6" w16cid:durableId="3628373">
    <w:abstractNumId w:val="6"/>
  </w:num>
  <w:num w:numId="7" w16cid:durableId="1205370728">
    <w:abstractNumId w:val="9"/>
  </w:num>
  <w:num w:numId="8" w16cid:durableId="1642883158">
    <w:abstractNumId w:val="7"/>
  </w:num>
  <w:num w:numId="9" w16cid:durableId="941036708">
    <w:abstractNumId w:val="1"/>
  </w:num>
  <w:num w:numId="10" w16cid:durableId="1721857199">
    <w:abstractNumId w:val="4"/>
  </w:num>
  <w:num w:numId="11" w16cid:durableId="1177158334">
    <w:abstractNumId w:val="8"/>
  </w:num>
  <w:num w:numId="12" w16cid:durableId="531307975">
    <w:abstractNumId w:val="10"/>
  </w:num>
  <w:num w:numId="13" w16cid:durableId="9648488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CC"/>
    <w:rsid w:val="00064772"/>
    <w:rsid w:val="0009484F"/>
    <w:rsid w:val="000A405B"/>
    <w:rsid w:val="001048BD"/>
    <w:rsid w:val="00106A68"/>
    <w:rsid w:val="001620D9"/>
    <w:rsid w:val="00170888"/>
    <w:rsid w:val="00194818"/>
    <w:rsid w:val="001B1621"/>
    <w:rsid w:val="001B1F9E"/>
    <w:rsid w:val="001C50B0"/>
    <w:rsid w:val="001D062E"/>
    <w:rsid w:val="00256E86"/>
    <w:rsid w:val="00262E9B"/>
    <w:rsid w:val="002717E7"/>
    <w:rsid w:val="0028779D"/>
    <w:rsid w:val="00293AD4"/>
    <w:rsid w:val="002B5124"/>
    <w:rsid w:val="002F3DCD"/>
    <w:rsid w:val="00315FB2"/>
    <w:rsid w:val="0037073A"/>
    <w:rsid w:val="003E57DF"/>
    <w:rsid w:val="00412C75"/>
    <w:rsid w:val="00432D75"/>
    <w:rsid w:val="00434FF7"/>
    <w:rsid w:val="004640CC"/>
    <w:rsid w:val="00483848"/>
    <w:rsid w:val="004A0F50"/>
    <w:rsid w:val="00501833"/>
    <w:rsid w:val="00524506"/>
    <w:rsid w:val="005250D9"/>
    <w:rsid w:val="00526DBA"/>
    <w:rsid w:val="0054354A"/>
    <w:rsid w:val="005B5736"/>
    <w:rsid w:val="005D00ED"/>
    <w:rsid w:val="00602742"/>
    <w:rsid w:val="00640F2E"/>
    <w:rsid w:val="006545D9"/>
    <w:rsid w:val="006A7A55"/>
    <w:rsid w:val="006B095F"/>
    <w:rsid w:val="00704DD2"/>
    <w:rsid w:val="0071566C"/>
    <w:rsid w:val="00807E3C"/>
    <w:rsid w:val="00816052"/>
    <w:rsid w:val="008977FA"/>
    <w:rsid w:val="008A2B6E"/>
    <w:rsid w:val="008E3348"/>
    <w:rsid w:val="008F1373"/>
    <w:rsid w:val="00923802"/>
    <w:rsid w:val="00973F4A"/>
    <w:rsid w:val="0099123C"/>
    <w:rsid w:val="009F2778"/>
    <w:rsid w:val="00B10F4E"/>
    <w:rsid w:val="00B16C96"/>
    <w:rsid w:val="00B20146"/>
    <w:rsid w:val="00BD3FCF"/>
    <w:rsid w:val="00BD712D"/>
    <w:rsid w:val="00BF6AD7"/>
    <w:rsid w:val="00C20382"/>
    <w:rsid w:val="00CC248C"/>
    <w:rsid w:val="00CE1BE1"/>
    <w:rsid w:val="00D16F3E"/>
    <w:rsid w:val="00D267B7"/>
    <w:rsid w:val="00D6359F"/>
    <w:rsid w:val="00D764A8"/>
    <w:rsid w:val="00D90217"/>
    <w:rsid w:val="00DB5A66"/>
    <w:rsid w:val="00E067D2"/>
    <w:rsid w:val="00E43D17"/>
    <w:rsid w:val="00F21D0D"/>
    <w:rsid w:val="00F5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21C4"/>
  <w15:chartTrackingRefBased/>
  <w15:docId w15:val="{56900CF4-1526-4968-9700-2A36FF7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4A"/>
    <w:pPr>
      <w:ind w:left="720"/>
      <w:contextualSpacing/>
    </w:pPr>
  </w:style>
  <w:style w:type="paragraph" w:customStyle="1" w:styleId="WW-Corpodetexto2">
    <w:name w:val="WW-Corpo de texto 2"/>
    <w:basedOn w:val="Normal"/>
    <w:rsid w:val="0054354A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table" w:styleId="TableGrid">
    <w:name w:val="Table Grid"/>
    <w:basedOn w:val="TableNormal"/>
    <w:uiPriority w:val="39"/>
    <w:rsid w:val="0054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F2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F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640F2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F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42"/>
    <w:rPr>
      <w:rFonts w:ascii="Segoe UI" w:eastAsia="Times New Roman" w:hAnsi="Segoe UI" w:cs="Segoe UI"/>
      <w:sz w:val="18"/>
      <w:szCs w:val="18"/>
      <w:lang w:eastAsia="pt-BR"/>
    </w:rPr>
  </w:style>
  <w:style w:type="numbering" w:customStyle="1" w:styleId="Edital">
    <w:name w:val="Edital"/>
    <w:uiPriority w:val="99"/>
    <w:rsid w:val="004A0F5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1295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45</cp:revision>
  <cp:lastPrinted>2022-01-05T17:39:00Z</cp:lastPrinted>
  <dcterms:created xsi:type="dcterms:W3CDTF">2021-12-22T11:28:00Z</dcterms:created>
  <dcterms:modified xsi:type="dcterms:W3CDTF">2023-02-24T13:26:00Z</dcterms:modified>
</cp:coreProperties>
</file>